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南银理财珠联璧合安稳1904一年定开公募人民币理财产品</w:t>
      </w:r>
    </w:p>
    <w:p w:rsidR="001421A0" w:rsidRDefault="00B1693A" w:rsidP="00D45351">
      <w:pPr>
        <w:spacing w:before="240" w:after="72" w:line="360" w:lineRule="auto"/>
        <w:jc w:val="center"/>
        <w:rPr>
          <w:rFonts w:ascii="方正黑体_GBK" w:eastAsia="方正黑体_GBK"/>
          <w:sz w:val="36"/>
          <w:szCs w:val="36"/>
        </w:rPr>
      </w:pPr>
      <w:r>
        <w:rPr>
          <w:rFonts w:ascii="方正黑体_GBK" w:eastAsia="方正黑体_GBK" w:hint="eastAsia"/>
          <w:sz w:val="36"/>
          <w:szCs w:val="36"/>
        </w:rPr>
        <w:t>2023年第</w:t>
      </w:r>
      <w:r w:rsidR="00E022D1">
        <w:rPr>
          <w:rFonts w:ascii="方正黑体_GBK" w:eastAsia="方正黑体_GBK" w:hint="eastAsia"/>
          <w:sz w:val="36"/>
          <w:szCs w:val="36"/>
        </w:rPr>
        <w:t>1</w:t>
      </w:r>
      <w:r>
        <w:rPr>
          <w:rFonts w:ascii="方正黑体_GBK" w:eastAsia="方正黑体_GBK" w:hint="eastAsia"/>
          <w:sz w:val="36"/>
          <w:szCs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Default="00B1693A" w:rsidP="00D45351">
      <w:pPr>
        <w:spacing w:before="240" w:after="72" w:line="360" w:lineRule="auto"/>
        <w:jc w:val="center"/>
        <w:rPr>
          <w:rFonts w:ascii="方正仿宋_GBK" w:eastAsia="方正仿宋_GBK" w:hAnsi="宋体" w:cs="宋体"/>
          <w:kern w:val="0"/>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6065"/>
      </w:tblGrid>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南银理财珠联璧合安稳1904一年定开公募人民币理财产品</w:t>
            </w:r>
          </w:p>
        </w:tc>
      </w:tr>
      <w:tr w:rsidR="001421A0" w:rsidTr="005B2789">
        <w:trPr>
          <w:trHeight w:val="1207"/>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Z7003221000017（投资者可依据该编码在中国理财网www.chinawealth.com.cn查询理财产品相关信息）</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2019年04月24日</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2,876,311,243.87份</w:t>
            </w:r>
          </w:p>
        </w:tc>
      </w:tr>
      <w:tr w:rsidR="001421A0" w:rsidTr="005B2789">
        <w:trPr>
          <w:trHeight w:val="639"/>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1421A0" w:rsidTr="005B2789">
        <w:trPr>
          <w:trHeight w:val="663"/>
        </w:trPr>
        <w:tc>
          <w:tcPr>
            <w:tcW w:w="2894"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065" w:type="dxa"/>
            <w:vAlign w:val="center"/>
          </w:tcPr>
          <w:p w:rsidR="001421A0" w:rsidRDefault="00B1693A" w:rsidP="00E022D1">
            <w:pPr>
              <w:snapToGrid/>
              <w:spacing w:beforeLines="20" w:afterLines="20"/>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主要财务指标和产品</w:t>
      </w:r>
      <w:r>
        <w:rPr>
          <w:rFonts w:ascii="方正仿宋_GBK" w:eastAsia="方正仿宋_GBK" w:hint="eastAsia"/>
          <w:b/>
          <w:sz w:val="24"/>
          <w:szCs w:val="24"/>
        </w:rPr>
        <w:t>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1421A0" w:rsidRDefault="00B1693A" w:rsidP="00D45351">
      <w:pPr>
        <w:spacing w:before="240" w:after="72" w:line="360" w:lineRule="auto"/>
        <w:jc w:val="right"/>
        <w:rPr>
          <w:rFonts w:ascii="方正仿宋_GBK" w:eastAsia="方正仿宋_GBK"/>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296"/>
        <w:gridCol w:w="2705"/>
        <w:gridCol w:w="2030"/>
        <w:gridCol w:w="2036"/>
      </w:tblGrid>
      <w:tr w:rsidR="001421A0" w:rsidTr="005B2789">
        <w:trPr>
          <w:trHeight w:val="613"/>
          <w:jc w:val="center"/>
        </w:trPr>
        <w:tc>
          <w:tcPr>
            <w:tcW w:w="2296" w:type="dxa"/>
            <w:vMerge w:val="restart"/>
            <w:vAlign w:val="center"/>
          </w:tcPr>
          <w:p w:rsidR="001421A0" w:rsidRDefault="00B1693A" w:rsidP="00E022D1">
            <w:pPr>
              <w:spacing w:beforeLines="20" w:afterLines="20" w:line="360" w:lineRule="auto"/>
              <w:jc w:val="center"/>
              <w:rPr>
                <w:rFonts w:ascii="方正仿宋_GBK" w:eastAsia="方正仿宋_GBK"/>
                <w:sz w:val="24"/>
                <w:szCs w:val="24"/>
              </w:rPr>
            </w:pPr>
            <w:r>
              <w:rPr>
                <w:rFonts w:ascii="方正仿宋_GBK" w:eastAsia="方正仿宋_GBK" w:hint="eastAsia"/>
                <w:sz w:val="24"/>
                <w:szCs w:val="24"/>
              </w:rPr>
              <w:t>内部销售代码</w:t>
            </w:r>
          </w:p>
        </w:tc>
        <w:tc>
          <w:tcPr>
            <w:tcW w:w="6771" w:type="dxa"/>
            <w:gridSpan w:val="3"/>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1421A0" w:rsidTr="005B2789">
        <w:trPr>
          <w:trHeight w:val="1664"/>
          <w:jc w:val="center"/>
        </w:trPr>
        <w:tc>
          <w:tcPr>
            <w:tcW w:w="2296" w:type="dxa"/>
            <w:vMerge/>
            <w:vAlign w:val="center"/>
          </w:tcPr>
          <w:p w:rsidR="001421A0" w:rsidRDefault="001421A0" w:rsidP="00E022D1">
            <w:pPr>
              <w:spacing w:beforeLines="20" w:afterLines="20" w:line="360" w:lineRule="auto"/>
              <w:jc w:val="center"/>
              <w:rPr>
                <w:rFonts w:ascii="方正仿宋_GBK" w:eastAsia="方正仿宋_GBK"/>
                <w:sz w:val="24"/>
                <w:szCs w:val="24"/>
              </w:rPr>
            </w:pPr>
          </w:p>
        </w:tc>
        <w:tc>
          <w:tcPr>
            <w:tcW w:w="2705"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030"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036"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57"/>
          <w:jc w:val="center"/>
        </w:trPr>
        <w:tc>
          <w:tcPr>
            <w:tcW w:w="2296" w:type="dxa"/>
            <w:vAlign w:val="center"/>
            <w:vAlign w:val="center"/>
          </w:tcPr>
          <w:p>
            <w:pPr>
              <w:spacing w:beforeLines="20" w:afterLines="20" w:line="360" w:lineRule="auto"/>
              <w:jc w:val="center"/>
              <w:textAlignment w:val="center"/>
              <w:rPr>
                <w:rFonts w:ascii="方正仿宋_GBK" w:eastAsia="方正仿宋_GBK"/>
                <w:sz w:val="24"/>
                <w:szCs w:val="24"/>
                <w:shd w:val="clear" w:color="auto" w:fill="FFFFFF"/>
              </w:rPr>
            </w:pPr>
            <w:r>
              <w:rPr>
                <w:rFonts w:ascii="方正仿宋_GBK" w:hAnsi="方正仿宋_GBK" w:cs="方正仿宋_GBK" w:eastAsia="方正仿宋_GBK"/>
                <w:sz w:val="24"/>
              </w:rPr>
              <w:t>Z10025</w:t>
            </w:r>
          </w:p>
        </w:tc>
        <w:tc>
          <w:tcPr>
            <w:tcW w:w="2705"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2,977,982,554.26</w:t>
            </w:r>
          </w:p>
        </w:tc>
        <w:tc>
          <w:tcPr>
            <w:tcW w:w="2030"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1.0353</w:t>
            </w:r>
          </w:p>
        </w:tc>
        <w:tc>
          <w:tcPr>
            <w:tcW w:w="2036" w:type="dxa"/>
            <w:vAlign w:val="center"/>
            <w:vAlign w:val="center"/>
          </w:tcPr>
          <w:p>
            <w:pPr>
              <w:spacing w:beforeLines="20" w:afterLines="20" w:line="360" w:lineRule="auto"/>
              <w:jc w:val="center"/>
              <w:textAlignment w:val="center"/>
              <w:rPr>
                <w:rFonts w:ascii="方正仿宋_GBK" w:eastAsia="方正仿宋_GBK"/>
                <w:sz w:val="24"/>
                <w:szCs w:val="24"/>
              </w:rPr>
            </w:pPr>
            <w:r>
              <w:rPr>
                <w:rFonts w:ascii="方正仿宋_GBK" w:hAnsi="方正仿宋_GBK" w:cs="方正仿宋_GBK" w:eastAsia="方正仿宋_GBK"/>
                <w:sz w:val="24"/>
              </w:rPr>
              <w:t>1.1755</w:t>
            </w:r>
          </w:p>
        </w:tc>
      </w:tr>
    </w:tbl>
    <w:p w:rsidR="001421A0" w:rsidRDefault="00B1693A" w:rsidP="00D45351">
      <w:pPr>
        <w:pStyle w:val="biaogeleft"/>
        <w:spacing w:before="240" w:after="72" w:line="360" w:lineRule="auto"/>
        <w:ind w:left="0"/>
        <w:rPr>
          <w:color w:val="000000"/>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 产品业绩比较基准</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485"/>
        <w:gridCol w:w="2095"/>
        <w:gridCol w:w="2322"/>
      </w:tblGrid>
      <w:tr w:rsidR="001421A0" w:rsidTr="00B1693A">
        <w:trPr>
          <w:jc w:val="center"/>
        </w:trPr>
        <w:tc>
          <w:tcPr>
            <w:tcW w:w="453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阶段</w:t>
            </w:r>
          </w:p>
        </w:tc>
        <w:tc>
          <w:tcPr>
            <w:tcW w:w="2118"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2347" w:type="dxa"/>
            <w:vAlign w:val="center"/>
          </w:tcPr>
          <w:p w:rsidR="001421A0" w:rsidRDefault="00B1693A" w:rsidP="00E022D1">
            <w:pPr>
              <w:snapToGrid/>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业绩比较基准</w:t>
            </w:r>
          </w:p>
        </w:tc>
      </w:tr>
      <w:tr>
        <w:trPr>
          <w:jc w:val="center"/>
        </w:trPr>
        <w:tc>
          <w:tcPr>
            <w:tcW w:w="453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2023年01月01日 - 2023年03月31日</w:t>
            </w:r>
          </w:p>
        </w:tc>
        <w:tc>
          <w:tcPr>
            <w:tcW w:w="2118"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Z10025</w:t>
            </w:r>
          </w:p>
        </w:tc>
        <w:tc>
          <w:tcPr>
            <w:tcW w:w="2347" w:type="dxa"/>
            <w:vAlign w:val="center"/>
            <w:vAlign w:val="center"/>
          </w:tcPr>
          <w:p>
            <w:pPr>
              <w:snapToGrid/>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r>
        <w:rPr>
          <w:rFonts w:ascii="方正仿宋_GBK" w:eastAsia="方正仿宋_GBK" w:hint="eastAsia"/>
          <w:b/>
          <w:sz w:val="24"/>
          <w:szCs w:val="24"/>
        </w:rPr>
        <w:tab/>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hint="eastAsia"/>
          <w:sz w:val="24"/>
          <w:szCs w:val="24"/>
        </w:rPr>
        <w:t>    一季度国内经济呈现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券从偏空转向偏多。一季度利率债经历了先上后下的过程，整体处于窄幅波动状态，至季末10年国债上行3bp至2.85%，信用债多数品种、期限下行10-50bp不等，中低评级下行幅度更大，其中1年AA表现最优，信用利差收窄10-70bp不等。</w:t>
        <w:br w:type="textWrapping" w:clear="all"/>
      </w:r>
      <w:r>
        <w:rPr>
          <w:rFonts w:ascii="方正仿宋_GBK" w:eastAsia="方正仿宋_GBK" w:hint="eastAsia"/>
          <w:sz w:val="24"/>
          <w:szCs w:val="24"/>
        </w:rPr>
        <w:t xml:space="preserve">    往后看，经济复苏斜率的变化和持续性仍待观察，地产销售和消费数据依然不算太强，货币政策大概率会呵护资金面维持宽松，因此对债市后续表现不悲观，调整风险可控，票息策略可能仍相对占优，保持适度杠杆以增厚票息收益，控制久期。 </w:t>
        <w:br w:type="textWrapping" w:clear="all"/>
      </w:r>
      <w:r>
        <w:rPr>
          <w:rFonts w:ascii="方正仿宋_GBK" w:eastAsia="方正仿宋_GBK" w:hint="eastAsia"/>
          <w:sz w:val="24"/>
          <w:szCs w:val="24"/>
        </w:rPr>
        <w:t xml:space="preserve">    本产品为中长期、定期开放式产品，在运作期内主配置2-3年信用债，积极采用杠杆、久期等工具获取收益增厚。后续我们将继续研判市场，积极把握市场机会，今年理财和信用债之间的正反馈、负反馈都会出现，收益率下行过快时会以短期资产过渡，等待后续市场调整时，再拉长久期。</w:t>
      </w:r>
      <w:r>
        <w:rPr>
          <w:rFonts w:ascii="方正仿宋_GBK" w:eastAsia="方正仿宋_GBK" w:hint="eastAsia"/>
          <w:sz w:val="24"/>
          <w:szCs w:val="24"/>
        </w:rPr>
        <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1421A0" w:rsidRDefault="00B1693A" w:rsidP="00D45351">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截至报告期末，本产品份额净值为1.0353元。</w:t>
      </w:r>
    </w:p>
    <w:p w:rsidR="001421A0" w:rsidRDefault="001421A0" w:rsidP="00D45351">
      <w:pPr>
        <w:spacing w:before="240" w:after="72" w:line="360" w:lineRule="auto"/>
        <w:rPr>
          <w:rFonts w:ascii="方正仿宋_GBK" w:eastAsia="方正仿宋_GBK" w:hAnsi="宋体"/>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Default="007D7CB7"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1693A" w:rsidTr="00395C1C">
        <w:trPr>
          <w:trHeight w:val="1233"/>
          <w:jc w:val="center"/>
        </w:trPr>
        <w:tc>
          <w:tcPr>
            <w:tcW w:w="75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22088478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450,065,856.87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15.11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22088566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22宜兴城发02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337,032,685.02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11.32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ZJQTT202203100001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鑫元基金-鑫安利得62号集合资产管理计划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152,637,626.14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5.13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22088529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22之江城投03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150,005,147.54</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5.04</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22088516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22锦汇集团01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110,011,965.72</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3.69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22088484</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22义乌城建01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100,016,305.20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TYJKX202204190001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同业借款（兴业消金）20220421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100,016,246.61</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22088519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22清江浦03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100,000,388.76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3.36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101901575</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19高淳经开MTN004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61,285,620.00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032000271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20成都开投PPN001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60,024,660.00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2.02</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1017" w:type="dxa"/>
            <w:vAlign w:val="center"/>
          </w:tcPr>
          <w:p w:rsidR="00B1693A" w:rsidRDefault="00B1693A" w:rsidP="00E022D1">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宜兴市城市发展投资有限公司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22宜兴城发02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杭州之江城市建设投资集团有限公司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22之江城投03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24</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常州市城市建设(集团)有限公司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22常州城建04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兴业消费金融股份公司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同业借款（兴业消金）20220421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同业借款</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江苏锦汇集团有限公司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22锦汇集团01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淮安市清江浦城投控股集团有限公司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22清江浦03</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义乌市城市投资建设集团有限公司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22义乌城建01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101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696"/>
        <w:gridCol w:w="1567"/>
        <w:gridCol w:w="2668"/>
        <w:gridCol w:w="1983"/>
        <w:gridCol w:w="1988"/>
      </w:tblGrid>
      <w:tr w:rsidR="00B612B8" w:rsidTr="007C7DC4">
        <w:trPr>
          <w:trHeight w:val="584"/>
          <w:jc w:val="center"/>
        </w:trPr>
        <w:tc>
          <w:tcPr>
            <w:tcW w:w="696"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567"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B612B8" w:rsidRDefault="00B612B8" w:rsidP="00E022D1">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69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56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0120000000000272</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南京银行安稳1904一年定开</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Default="00B1693A" w:rsidP="00D45351">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w:r>
      <w:bookmarkStart w:id="0" w:name="_GoBack"/>
      <w:bookmarkEnd w:id="0"/>
      <w:r>
        <w:rPr>
          <w:rFonts w:ascii="方正仿宋_GBK" w:eastAsia="方正仿宋_GBK" w:hAnsiTheme="minorHAnsi" w:cstheme="minorBidi" w:hint="eastAsia"/>
          <w:sz w:val="24"/>
          <w:szCs w:val="24"/>
        </w:rPr>
        <w:t>产品投资于关联方承销的证券交易金额30,052,158.09元。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产品与关联方作为交易对手开展的投融资业务交易金额155,100,978.08元。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1421A0" w:rsidRDefault="006754C1"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w:t>
      </w:r>
      <w:r w:rsidR="00B1693A">
        <w:rPr>
          <w:rFonts w:ascii="方正仿宋_GBK" w:eastAsia="方正仿宋_GBK" w:hAnsiTheme="minorHAnsi" w:cstheme="minorBidi" w:hint="eastAsia"/>
          <w:sz w:val="24"/>
          <w:szCs w:val="24"/>
        </w:rPr>
        <w:t>支付关联方托管费141,845.40</w:t>
      </w:r>
      <w:r>
        <w:rPr>
          <w:rFonts w:ascii="方正仿宋_GBK" w:eastAsia="方正仿宋_GBK" w:hAnsiTheme="minorHAnsi" w:cstheme="minorBidi" w:hint="eastAsia"/>
          <w:sz w:val="24"/>
          <w:szCs w:val="24"/>
        </w:rPr>
        <w:t>元，</w:t>
      </w:r>
      <w:r w:rsidR="00B1693A">
        <w:rPr>
          <w:rFonts w:ascii="方正仿宋_GBK" w:eastAsia="方正仿宋_GBK" w:hAnsiTheme="minorHAnsi" w:cstheme="minorBidi" w:hint="eastAsia"/>
          <w:sz w:val="24"/>
          <w:szCs w:val="24"/>
        </w:rPr>
        <w:t>支付关联方代销费1,404,879.89元。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1421A0" w:rsidRDefault="00B1693A" w:rsidP="00D45351">
      <w:pPr>
        <w:snapToGrid/>
        <w:spacing w:before="240" w:after="72" w:line="360" w:lineRule="auto"/>
        <w:ind w:firstLineChars="200" w:firstLine="480"/>
        <w:jc w:val="both"/>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Default="00B1693A" w:rsidP="00D45351">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1421A0" w:rsidRPr="000B4524" w:rsidRDefault="00B1693A" w:rsidP="00D45351">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sectPr w:rsidR="001421A0" w:rsidRPr="000B4524"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5AD" w:rsidRDefault="000215AD">
      <w:pPr>
        <w:spacing w:after="72"/>
      </w:pPr>
      <w:r>
        <w:separator/>
      </w:r>
    </w:p>
  </w:endnote>
  <w:endnote w:type="continuationSeparator" w:id="1">
    <w:p w:rsidR="000215AD" w:rsidRDefault="000215A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E06F91">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5AD" w:rsidRDefault="000215AD">
      <w:pPr>
        <w:spacing w:after="72"/>
      </w:pPr>
      <w:r>
        <w:separator/>
      </w:r>
    </w:p>
  </w:footnote>
  <w:footnote w:type="continuationSeparator" w:id="1">
    <w:p w:rsidR="000215AD" w:rsidRDefault="000215A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21A0" w:rsidRDefault="001421A0">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044BE"/>
    <w:rsid w:val="000121D1"/>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r="http://schemas.openxmlformats.org/officeDocument/2006/relationships" xmlns:w="http://schemas.openxmlformats.org/wordprocessingml/2006/main">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344</Words>
  <Characters>1967</Characters>
  <Application>Microsoft Office Word</Application>
  <DocSecurity>0</DocSecurity>
  <Lines>16</Lines>
  <Paragraphs>4</Paragraphs>
  <ScaleCrop>false</ScaleCrop>
  <Company>cc</Company>
  <LinksUpToDate>false</LinksUpToDate>
  <CharactersWithSpaces>2307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未定义</cp:lastModifiedBy>
  <dcterms:modified xsi:type="dcterms:W3CDTF">2023-04-14T10:07:00Z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